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CF" w:rsidRDefault="005179CF" w:rsidP="005179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 АВТОНОМНЫЙ  ОКРУГ – ЮГРА</w:t>
      </w:r>
    </w:p>
    <w:p w:rsidR="005179CF" w:rsidRDefault="005179CF" w:rsidP="005179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5179CF" w:rsidRDefault="005179CF" w:rsidP="005179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5179CF" w:rsidRDefault="005179CF" w:rsidP="005179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 ПОСЕЛЕНИЕ ШАПША</w:t>
      </w:r>
    </w:p>
    <w:p w:rsidR="005179CF" w:rsidRDefault="005179CF" w:rsidP="005179CF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 ДЕПУТАТОВ </w:t>
      </w:r>
    </w:p>
    <w:p w:rsidR="005179CF" w:rsidRDefault="005179CF" w:rsidP="005179CF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5179CF" w:rsidRDefault="005179CF" w:rsidP="005179CF">
      <w:pPr>
        <w:jc w:val="center"/>
        <w:rPr>
          <w:rFonts w:ascii="Times New Roman" w:hAnsi="Times New Roman"/>
          <w:sz w:val="28"/>
        </w:rPr>
      </w:pPr>
    </w:p>
    <w:p w:rsidR="005179CF" w:rsidRDefault="00E74A0D" w:rsidP="005179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11.05.2010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C163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0C163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№ </w:t>
      </w:r>
      <w:r w:rsidR="000C1635">
        <w:rPr>
          <w:rFonts w:ascii="Times New Roman" w:hAnsi="Times New Roman"/>
          <w:sz w:val="28"/>
        </w:rPr>
        <w:t>100</w:t>
      </w:r>
    </w:p>
    <w:p w:rsidR="005179CF" w:rsidRDefault="005179CF" w:rsidP="00E74A0D">
      <w:pPr>
        <w:pStyle w:val="ConsPlusNormal"/>
        <w:tabs>
          <w:tab w:val="left" w:pos="9355"/>
        </w:tabs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</w:t>
      </w:r>
      <w:r w:rsidR="00E74A0D">
        <w:rPr>
          <w:rFonts w:ascii="Times New Roman" w:hAnsi="Times New Roman" w:cs="Times New Roman"/>
          <w:sz w:val="28"/>
          <w:szCs w:val="28"/>
        </w:rPr>
        <w:t>есении изменений и дополнений в р</w:t>
      </w:r>
      <w:r>
        <w:rPr>
          <w:rFonts w:ascii="Times New Roman" w:hAnsi="Times New Roman" w:cs="Times New Roman"/>
          <w:sz w:val="28"/>
          <w:szCs w:val="28"/>
        </w:rPr>
        <w:t xml:space="preserve">ешение Совета депутатов сельского поселения Шапша от 17.07.2009 № 58 «Об утверждении порядка предоставления физическим и юридическим лицам земельных участков, находящихся в муниципальной собственности, и земельных участков, государственная собственность на которые  не разграничена для целей, не связанных со строительством, на территории сельского поселения Шапша» (в редакции от 27.10.2009 № 75) </w:t>
      </w:r>
      <w:proofErr w:type="gramEnd"/>
    </w:p>
    <w:p w:rsidR="005179CF" w:rsidRDefault="005179CF" w:rsidP="00517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9CF" w:rsidRDefault="005179CF" w:rsidP="005179CF">
      <w:pPr>
        <w:pStyle w:val="Style13"/>
        <w:widowControl/>
        <w:spacing w:line="240" w:lineRule="auto"/>
        <w:ind w:firstLine="72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В целях приведения Решения  в соответствие федеральному законодательству, законодательству автономного округа и Уставу, на  основании протеста межрайонной прокуратуры № 07-30-1827-10 от 29.01.2010 </w:t>
      </w:r>
    </w:p>
    <w:p w:rsidR="005179CF" w:rsidRDefault="005179CF" w:rsidP="005179CF">
      <w:pPr>
        <w:pStyle w:val="Style13"/>
        <w:widowControl/>
        <w:spacing w:line="240" w:lineRule="auto"/>
        <w:ind w:firstLine="720"/>
        <w:rPr>
          <w:rStyle w:val="FontStyle22"/>
          <w:rFonts w:ascii="Times New Roman" w:hAnsi="Times New Roman"/>
          <w:sz w:val="28"/>
          <w:szCs w:val="28"/>
        </w:rPr>
      </w:pPr>
    </w:p>
    <w:p w:rsidR="005179CF" w:rsidRDefault="005179CF" w:rsidP="005179CF">
      <w:pPr>
        <w:pStyle w:val="Style13"/>
        <w:widowControl/>
        <w:spacing w:line="240" w:lineRule="auto"/>
        <w:ind w:firstLine="720"/>
        <w:jc w:val="center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СОВЕТ ДЕПУТАТОВ</w:t>
      </w:r>
    </w:p>
    <w:p w:rsidR="005179CF" w:rsidRDefault="005179CF" w:rsidP="005179CF">
      <w:pPr>
        <w:pStyle w:val="Style13"/>
        <w:widowControl/>
        <w:spacing w:line="240" w:lineRule="auto"/>
        <w:ind w:firstLine="720"/>
        <w:jc w:val="center"/>
        <w:rPr>
          <w:rStyle w:val="FontStyle22"/>
          <w:rFonts w:ascii="Times New Roman" w:hAnsi="Times New Roman"/>
          <w:sz w:val="28"/>
          <w:szCs w:val="28"/>
        </w:rPr>
      </w:pPr>
    </w:p>
    <w:p w:rsidR="005179CF" w:rsidRDefault="005179CF" w:rsidP="005179CF">
      <w:pPr>
        <w:pStyle w:val="Style13"/>
        <w:widowControl/>
        <w:spacing w:line="240" w:lineRule="auto"/>
        <w:ind w:firstLine="720"/>
        <w:jc w:val="center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РЕШИЛ:</w:t>
      </w:r>
    </w:p>
    <w:p w:rsidR="005179CF" w:rsidRDefault="005179CF" w:rsidP="005179CF">
      <w:pPr>
        <w:pStyle w:val="Style13"/>
        <w:widowControl/>
        <w:spacing w:line="240" w:lineRule="auto"/>
        <w:ind w:firstLine="720"/>
        <w:rPr>
          <w:rStyle w:val="FontStyle22"/>
          <w:rFonts w:ascii="Times New Roman" w:hAnsi="Times New Roman"/>
          <w:sz w:val="28"/>
          <w:szCs w:val="28"/>
        </w:rPr>
      </w:pPr>
    </w:p>
    <w:p w:rsidR="00DB58C4" w:rsidRDefault="005179CF" w:rsidP="00DB58C4">
      <w:pPr>
        <w:pStyle w:val="Style13"/>
        <w:widowControl/>
        <w:numPr>
          <w:ilvl w:val="0"/>
          <w:numId w:val="1"/>
        </w:numPr>
        <w:spacing w:line="240" w:lineRule="auto"/>
        <w:ind w:left="0" w:firstLine="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Исключить  подпункт 2 пункта 1.5, пункт 1.8, 1.9, раздел 3   Приложения к Решению</w:t>
      </w:r>
      <w:r w:rsidR="00DB58C4">
        <w:rPr>
          <w:rStyle w:val="FontStyle22"/>
          <w:rFonts w:ascii="Times New Roman" w:hAnsi="Times New Roman"/>
          <w:sz w:val="28"/>
          <w:szCs w:val="28"/>
        </w:rPr>
        <w:t>.</w:t>
      </w:r>
    </w:p>
    <w:p w:rsidR="00E74A0D" w:rsidRDefault="00E74A0D" w:rsidP="00DB58C4">
      <w:pPr>
        <w:pStyle w:val="Style13"/>
        <w:widowControl/>
        <w:numPr>
          <w:ilvl w:val="0"/>
          <w:numId w:val="1"/>
        </w:numPr>
        <w:spacing w:line="240" w:lineRule="auto"/>
        <w:ind w:left="0" w:firstLine="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Настоящее Решение подлежит опубликованию (обнародованию).</w:t>
      </w:r>
    </w:p>
    <w:p w:rsidR="00E74A0D" w:rsidRDefault="00E74A0D" w:rsidP="00E74A0D">
      <w:pPr>
        <w:pStyle w:val="Style13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</w:p>
    <w:p w:rsidR="00E74A0D" w:rsidRDefault="00E74A0D" w:rsidP="00E74A0D">
      <w:pPr>
        <w:pStyle w:val="Style13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</w:p>
    <w:p w:rsidR="00E74A0D" w:rsidRDefault="00E74A0D" w:rsidP="00E74A0D">
      <w:pPr>
        <w:pStyle w:val="Style13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</w:p>
    <w:p w:rsidR="00E74A0D" w:rsidRDefault="00E74A0D" w:rsidP="00E74A0D">
      <w:pPr>
        <w:pStyle w:val="Style13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</w:p>
    <w:p w:rsidR="00E74A0D" w:rsidRDefault="00E74A0D" w:rsidP="00E74A0D">
      <w:pPr>
        <w:pStyle w:val="Style13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</w:p>
    <w:p w:rsidR="00E74A0D" w:rsidRDefault="00E74A0D" w:rsidP="00E74A0D">
      <w:pPr>
        <w:pStyle w:val="Style13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Глава</w:t>
      </w:r>
    </w:p>
    <w:p w:rsidR="005179CF" w:rsidRDefault="00E74A0D" w:rsidP="00E74A0D">
      <w:pPr>
        <w:pStyle w:val="Style13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rStyle w:val="FontStyle22"/>
          <w:rFonts w:ascii="Times New Roman" w:hAnsi="Times New Roman"/>
          <w:sz w:val="28"/>
          <w:szCs w:val="28"/>
        </w:rPr>
        <w:t>Л.А.Овчерюкова</w:t>
      </w:r>
      <w:proofErr w:type="spellEnd"/>
      <w:r w:rsidR="005179CF">
        <w:rPr>
          <w:rStyle w:val="FontStyle22"/>
          <w:rFonts w:ascii="Times New Roman" w:hAnsi="Times New Roman"/>
          <w:sz w:val="28"/>
          <w:szCs w:val="28"/>
        </w:rPr>
        <w:t xml:space="preserve"> </w:t>
      </w:r>
    </w:p>
    <w:p w:rsidR="00D67F45" w:rsidRDefault="00D67F45"/>
    <w:sectPr w:rsidR="00D67F45" w:rsidSect="00ED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F52"/>
    <w:multiLevelType w:val="hybridMultilevel"/>
    <w:tmpl w:val="B874CFE0"/>
    <w:lvl w:ilvl="0" w:tplc="73C01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179CF"/>
    <w:rsid w:val="000C1635"/>
    <w:rsid w:val="003D7BD1"/>
    <w:rsid w:val="005179CF"/>
    <w:rsid w:val="00D67F45"/>
    <w:rsid w:val="00DB58C4"/>
    <w:rsid w:val="00E74A0D"/>
    <w:rsid w:val="00E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5179CF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5179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basedOn w:val="a0"/>
    <w:rsid w:val="005179CF"/>
    <w:rPr>
      <w:rFonts w:ascii="Arial" w:hAnsi="Arial" w:cs="Arial" w:hint="defau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2010-05-11T10:36:00Z</cp:lastPrinted>
  <dcterms:created xsi:type="dcterms:W3CDTF">2010-05-11T06:00:00Z</dcterms:created>
  <dcterms:modified xsi:type="dcterms:W3CDTF">2010-05-11T10:56:00Z</dcterms:modified>
</cp:coreProperties>
</file>