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35" w:rsidRPr="00484935" w:rsidRDefault="00484935" w:rsidP="0048493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noProof/>
        </w:rPr>
      </w:pPr>
      <w:r w:rsidRPr="00484935">
        <w:rPr>
          <w:rFonts w:ascii="Times New Roman" w:hAnsi="Times New Roman"/>
          <w:noProof/>
        </w:rPr>
        <w:drawing>
          <wp:inline distT="0" distB="0" distL="0" distR="0" wp14:anchorId="1ABBCD36" wp14:editId="31BC5E65">
            <wp:extent cx="61722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СЕЛЬСКОЕ ПОСЕЛЕНИЕ ШАПША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РЕШЕНИЕ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1349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84935"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421349">
        <w:rPr>
          <w:rFonts w:ascii="Times New Roman" w:hAnsi="Times New Roman"/>
          <w:spacing w:val="-4"/>
          <w:sz w:val="28"/>
          <w:szCs w:val="28"/>
        </w:rPr>
        <w:t>30</w:t>
      </w:r>
      <w:r w:rsidR="00E90C4C">
        <w:rPr>
          <w:rFonts w:ascii="Times New Roman" w:hAnsi="Times New Roman"/>
          <w:spacing w:val="-4"/>
          <w:sz w:val="28"/>
          <w:szCs w:val="28"/>
        </w:rPr>
        <w:t>.</w:t>
      </w:r>
      <w:r w:rsidR="00421349">
        <w:rPr>
          <w:rFonts w:ascii="Times New Roman" w:hAnsi="Times New Roman"/>
          <w:spacing w:val="-4"/>
          <w:sz w:val="28"/>
          <w:szCs w:val="28"/>
        </w:rPr>
        <w:t>1</w:t>
      </w:r>
      <w:r w:rsidR="00591C04">
        <w:rPr>
          <w:rFonts w:ascii="Times New Roman" w:hAnsi="Times New Roman"/>
          <w:spacing w:val="-4"/>
          <w:sz w:val="28"/>
          <w:szCs w:val="28"/>
        </w:rPr>
        <w:t>0</w:t>
      </w:r>
      <w:r w:rsidRPr="00484935">
        <w:rPr>
          <w:rFonts w:ascii="Times New Roman" w:hAnsi="Times New Roman"/>
          <w:spacing w:val="-4"/>
          <w:sz w:val="28"/>
          <w:szCs w:val="28"/>
        </w:rPr>
        <w:t>.</w:t>
      </w:r>
      <w:r w:rsidR="00421349">
        <w:rPr>
          <w:rFonts w:ascii="Times New Roman" w:hAnsi="Times New Roman"/>
          <w:spacing w:val="-4"/>
          <w:sz w:val="28"/>
          <w:szCs w:val="28"/>
        </w:rPr>
        <w:t>2020</w:t>
      </w:r>
      <w:r w:rsidRPr="00484935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84935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B1482">
        <w:rPr>
          <w:rFonts w:ascii="Times New Roman" w:hAnsi="Times New Roman"/>
          <w:sz w:val="28"/>
          <w:szCs w:val="28"/>
        </w:rPr>
        <w:t xml:space="preserve">                          </w:t>
      </w:r>
      <w:r w:rsidR="00E90C4C">
        <w:rPr>
          <w:rFonts w:ascii="Times New Roman" w:hAnsi="Times New Roman"/>
          <w:sz w:val="28"/>
          <w:szCs w:val="28"/>
        </w:rPr>
        <w:t xml:space="preserve">   </w:t>
      </w:r>
      <w:r w:rsidR="003B1482">
        <w:rPr>
          <w:rFonts w:ascii="Times New Roman" w:hAnsi="Times New Roman"/>
          <w:sz w:val="28"/>
          <w:szCs w:val="28"/>
        </w:rPr>
        <w:t xml:space="preserve">   № </w:t>
      </w:r>
      <w:r w:rsidR="00421349">
        <w:rPr>
          <w:rFonts w:ascii="Times New Roman" w:hAnsi="Times New Roman"/>
          <w:sz w:val="28"/>
          <w:szCs w:val="28"/>
        </w:rPr>
        <w:t>128</w:t>
      </w:r>
    </w:p>
    <w:p w:rsidR="00484935" w:rsidRPr="00484935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4935">
        <w:rPr>
          <w:rFonts w:ascii="Times New Roman" w:hAnsi="Times New Roman"/>
          <w:i/>
          <w:iCs/>
          <w:sz w:val="28"/>
          <w:szCs w:val="28"/>
        </w:rPr>
        <w:t>д. Шапша</w:t>
      </w:r>
    </w:p>
    <w:p w:rsidR="00485741" w:rsidRPr="00484935" w:rsidRDefault="00485741" w:rsidP="00484935">
      <w:pPr>
        <w:pStyle w:val="HEADERTEX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F4988" w:rsidRPr="00CF4F80" w:rsidRDefault="00CF4F80" w:rsidP="00B02D5A">
      <w:pPr>
        <w:pStyle w:val="HEADERTEXT"/>
        <w:tabs>
          <w:tab w:val="left" w:pos="5103"/>
        </w:tabs>
        <w:ind w:right="396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F4F80">
        <w:rPr>
          <w:rFonts w:ascii="Times New Roman" w:hAnsi="Times New Roman" w:cs="Times New Roman"/>
          <w:bCs/>
          <w:color w:val="auto"/>
          <w:sz w:val="28"/>
          <w:szCs w:val="28"/>
        </w:rPr>
        <w:t>Об утверждении Положения о порядке проведения внешней проверки годового отчета об исполнении бюджета сельского поселения Шапша</w:t>
      </w:r>
    </w:p>
    <w:p w:rsidR="00E90C4C" w:rsidRDefault="00E90C4C" w:rsidP="00E90C4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</w:p>
    <w:p w:rsidR="00CF4F80" w:rsidRPr="00CF4F80" w:rsidRDefault="00CF4F80" w:rsidP="00CF4F80">
      <w:pPr>
        <w:pStyle w:val="FORMATTEXT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80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proofErr w:type="gramStart"/>
      <w:r w:rsidRPr="00CF4F80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4F80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CF4F80">
        <w:rPr>
          <w:rFonts w:ascii="Times New Roman" w:hAnsi="Times New Roman" w:cs="Times New Roman"/>
          <w:bCs/>
          <w:sz w:val="28"/>
          <w:szCs w:val="28"/>
        </w:rPr>
        <w:instrText xml:space="preserve"> HYPERLINK "kodeks://link/d?nd=901714433&amp;point=mark=00000000000000000000000000000000000000000000000000A900NE"\o"’’Бюджетный кодекс Российской Федерации (с изменениями на 15 октября 2020 года)’’</w:instrText>
      </w:r>
    </w:p>
    <w:p w:rsidR="00CF4F80" w:rsidRPr="00CF4F80" w:rsidRDefault="00CF4F80" w:rsidP="00CF4F80">
      <w:pPr>
        <w:pStyle w:val="FORMATTEXT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80">
        <w:rPr>
          <w:rFonts w:ascii="Times New Roman" w:hAnsi="Times New Roman" w:cs="Times New Roman"/>
          <w:bCs/>
          <w:sz w:val="28"/>
          <w:szCs w:val="28"/>
        </w:rPr>
        <w:instrText>Кодекс РФ от 31.07.1998 N 145-ФЗ</w:instrText>
      </w:r>
    </w:p>
    <w:p w:rsidR="00CF4F80" w:rsidRPr="00CF4F80" w:rsidRDefault="00CF4F80" w:rsidP="00CF4F80">
      <w:pPr>
        <w:pStyle w:val="FORMATTEXT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80">
        <w:rPr>
          <w:rFonts w:ascii="Times New Roman" w:hAnsi="Times New Roman" w:cs="Times New Roman"/>
          <w:bCs/>
          <w:sz w:val="28"/>
          <w:szCs w:val="28"/>
        </w:rPr>
        <w:instrText>Статус: действующая редакция (действ. с 15.10.2020)"</w:instrText>
      </w:r>
      <w:r w:rsidRPr="00CF4F80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CF4F80">
        <w:rPr>
          <w:rFonts w:ascii="Times New Roman" w:hAnsi="Times New Roman" w:cs="Times New Roman"/>
          <w:bCs/>
          <w:sz w:val="28"/>
          <w:szCs w:val="28"/>
        </w:rPr>
        <w:t>стать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Pr="00CF4F80">
        <w:rPr>
          <w:rFonts w:ascii="Times New Roman" w:hAnsi="Times New Roman" w:cs="Times New Roman"/>
          <w:bCs/>
          <w:sz w:val="28"/>
          <w:szCs w:val="28"/>
        </w:rPr>
        <w:t xml:space="preserve">й 264.4 </w:t>
      </w:r>
      <w:r w:rsidRPr="00CF4F80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CF4F80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CF4F80">
        <w:rPr>
          <w:rFonts w:ascii="Times New Roman" w:hAnsi="Times New Roman" w:cs="Times New Roman"/>
          <w:bCs/>
          <w:sz w:val="28"/>
          <w:szCs w:val="28"/>
        </w:rPr>
        <w:instrText xml:space="preserve"> HYPERLINK "kodeks://link/d?nd=901714433"\o"’’Бюджетный кодекс Российской Федерации (с изменениями на 15 октября 2020 года)’’</w:instrText>
      </w:r>
    </w:p>
    <w:p w:rsidR="00CF4F80" w:rsidRPr="00CF4F80" w:rsidRDefault="00CF4F80" w:rsidP="00CF4F80">
      <w:pPr>
        <w:pStyle w:val="FORMATTEXT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80">
        <w:rPr>
          <w:rFonts w:ascii="Times New Roman" w:hAnsi="Times New Roman" w:cs="Times New Roman"/>
          <w:bCs/>
          <w:sz w:val="28"/>
          <w:szCs w:val="28"/>
        </w:rPr>
        <w:instrText>Кодекс РФ от 31.07.1998 N 145-ФЗ</w:instrText>
      </w:r>
    </w:p>
    <w:p w:rsidR="00CF4F80" w:rsidRPr="00CF4F80" w:rsidRDefault="00CF4F80" w:rsidP="00CF4F80">
      <w:pPr>
        <w:pStyle w:val="FORMATTEXT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80">
        <w:rPr>
          <w:rFonts w:ascii="Times New Roman" w:hAnsi="Times New Roman" w:cs="Times New Roman"/>
          <w:bCs/>
          <w:sz w:val="28"/>
          <w:szCs w:val="28"/>
        </w:rPr>
        <w:instrText>Статус: действующая редакция (действ. с 15.10.2020)"</w:instrText>
      </w:r>
      <w:r w:rsidRPr="00CF4F80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Cs/>
          <w:sz w:val="28"/>
          <w:szCs w:val="28"/>
        </w:rPr>
        <w:t xml:space="preserve">Бюджетного кодекса </w:t>
      </w:r>
      <w:r w:rsidRPr="00CF4F80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proofErr w:type="gramStart"/>
      <w:r w:rsidRPr="00CF4F80">
        <w:rPr>
          <w:rFonts w:ascii="Times New Roman" w:hAnsi="Times New Roman" w:cs="Times New Roman"/>
          <w:bCs/>
          <w:sz w:val="28"/>
          <w:szCs w:val="28"/>
        </w:rPr>
        <w:t>Ф</w:t>
      </w:r>
      <w:r w:rsidRPr="00CF4F80">
        <w:rPr>
          <w:rFonts w:ascii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>едерации</w:t>
      </w:r>
      <w:proofErr w:type="gramEnd"/>
      <w:r w:rsidRPr="00CF4F8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F4F80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CF4F80">
        <w:rPr>
          <w:rFonts w:ascii="Times New Roman" w:hAnsi="Times New Roman" w:cs="Times New Roman"/>
          <w:bCs/>
          <w:sz w:val="28"/>
          <w:szCs w:val="28"/>
        </w:rPr>
        <w:instrText xml:space="preserve"> HYPERLINK "kodeks://link/d?nd=901876063"\o"’’Об общих принципах организации местного самоуправления в Российской Федерации (с изменениями ...’’</w:instrText>
      </w:r>
    </w:p>
    <w:p w:rsidR="00CF4F80" w:rsidRPr="00CF4F80" w:rsidRDefault="00CF4F80" w:rsidP="00CF4F80">
      <w:pPr>
        <w:pStyle w:val="FORMATTEXT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80">
        <w:rPr>
          <w:rFonts w:ascii="Times New Roman" w:hAnsi="Times New Roman" w:cs="Times New Roman"/>
          <w:bCs/>
          <w:sz w:val="28"/>
          <w:szCs w:val="28"/>
        </w:rPr>
        <w:instrText>Федеральный закон от 06.10.2003 N 131-ФЗ</w:instrText>
      </w:r>
    </w:p>
    <w:p w:rsidR="00E90C4C" w:rsidRPr="003C4372" w:rsidRDefault="00CF4F80" w:rsidP="00CF4F80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F4F80">
        <w:rPr>
          <w:b w:val="0"/>
          <w:sz w:val="28"/>
          <w:szCs w:val="28"/>
        </w:rPr>
        <w:instrText>Статус: действующая редакция (действ. с 28.08.2020)"</w:instrText>
      </w:r>
      <w:r w:rsidRPr="00CF4F80">
        <w:rPr>
          <w:b w:val="0"/>
          <w:sz w:val="28"/>
          <w:szCs w:val="28"/>
        </w:rPr>
        <w:fldChar w:fldCharType="separate"/>
      </w:r>
      <w:r w:rsidRPr="00CF4F80">
        <w:rPr>
          <w:b w:val="0"/>
          <w:sz w:val="28"/>
          <w:szCs w:val="28"/>
        </w:rPr>
        <w:t xml:space="preserve">Федеральным законом от 06.10.2003 </w:t>
      </w:r>
      <w:r>
        <w:rPr>
          <w:b w:val="0"/>
          <w:sz w:val="28"/>
          <w:szCs w:val="28"/>
        </w:rPr>
        <w:t>№ 131-ФЗ «</w:t>
      </w:r>
      <w:r w:rsidRPr="00CF4F80">
        <w:rPr>
          <w:b w:val="0"/>
          <w:sz w:val="28"/>
          <w:szCs w:val="28"/>
        </w:rPr>
        <w:t>Об общих принципах организации местного самоуп</w:t>
      </w:r>
      <w:r>
        <w:rPr>
          <w:b w:val="0"/>
          <w:sz w:val="28"/>
          <w:szCs w:val="28"/>
        </w:rPr>
        <w:t>равления в Российской Федерации»</w:t>
      </w:r>
      <w:r w:rsidRPr="00CF4F80">
        <w:rPr>
          <w:b w:val="0"/>
          <w:sz w:val="28"/>
          <w:szCs w:val="28"/>
        </w:rPr>
        <w:fldChar w:fldCharType="end"/>
      </w:r>
      <w:r w:rsidRPr="00CF4F80">
        <w:rPr>
          <w:b w:val="0"/>
          <w:sz w:val="28"/>
          <w:szCs w:val="28"/>
        </w:rPr>
        <w:t xml:space="preserve">, руководствуясь </w:t>
      </w:r>
      <w:r>
        <w:rPr>
          <w:b w:val="0"/>
          <w:sz w:val="28"/>
          <w:szCs w:val="28"/>
        </w:rPr>
        <w:t>У</w:t>
      </w:r>
      <w:r w:rsidRPr="00CF4F80">
        <w:rPr>
          <w:b w:val="0"/>
          <w:sz w:val="28"/>
          <w:szCs w:val="28"/>
        </w:rPr>
        <w:t xml:space="preserve">ставом сельского поселения </w:t>
      </w:r>
      <w:r>
        <w:rPr>
          <w:b w:val="0"/>
          <w:sz w:val="28"/>
          <w:szCs w:val="28"/>
        </w:rPr>
        <w:t>Шапша</w:t>
      </w:r>
      <w:r w:rsidR="00485741" w:rsidRPr="003C4372">
        <w:rPr>
          <w:b w:val="0"/>
          <w:sz w:val="28"/>
          <w:szCs w:val="28"/>
        </w:rPr>
        <w:t xml:space="preserve">, Совет депутатов сельского поселения Шапша </w:t>
      </w:r>
    </w:p>
    <w:p w:rsidR="003C4372" w:rsidRDefault="003C4372" w:rsidP="00E90C4C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85741" w:rsidRDefault="00485741" w:rsidP="00E90C4C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F4988">
        <w:rPr>
          <w:sz w:val="28"/>
          <w:szCs w:val="28"/>
        </w:rPr>
        <w:t>РЕШИЛ:</w:t>
      </w:r>
    </w:p>
    <w:p w:rsidR="00E90C4C" w:rsidRPr="007F4988" w:rsidRDefault="00E90C4C" w:rsidP="00E90C4C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CF4F80" w:rsidRPr="00CF4F80" w:rsidRDefault="00CF4F80" w:rsidP="00591C04">
      <w:pPr>
        <w:pStyle w:val="FORMATTEX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80">
        <w:rPr>
          <w:rFonts w:ascii="Times New Roman" w:hAnsi="Times New Roman" w:cs="Times New Roman"/>
          <w:bCs/>
          <w:sz w:val="28"/>
          <w:szCs w:val="28"/>
        </w:rPr>
        <w:t xml:space="preserve">1. Утвердить Положение о порядке проведения внешней проверки годового отчета об исполнении бюджета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Шапша согласно приложению</w:t>
      </w:r>
      <w:r w:rsidRPr="00CF4F80">
        <w:rPr>
          <w:rFonts w:ascii="Times New Roman" w:hAnsi="Times New Roman" w:cs="Times New Roman"/>
          <w:bCs/>
          <w:sz w:val="28"/>
          <w:szCs w:val="28"/>
        </w:rPr>
        <w:t>.</w:t>
      </w:r>
    </w:p>
    <w:p w:rsidR="00E90C4C" w:rsidRPr="00E90C4C" w:rsidRDefault="00591C04" w:rsidP="00B02D5A">
      <w:pPr>
        <w:pStyle w:val="ConsPlusNormal"/>
        <w:ind w:firstLine="709"/>
        <w:jc w:val="both"/>
        <w:rPr>
          <w:bCs/>
        </w:rPr>
      </w:pPr>
      <w:r>
        <w:rPr>
          <w:rFonts w:eastAsia="Times New Roman"/>
          <w:bCs/>
          <w:lang w:eastAsia="ru-RU"/>
        </w:rPr>
        <w:t>2</w:t>
      </w:r>
      <w:r w:rsidR="00E90C4C" w:rsidRPr="00B02D5A">
        <w:rPr>
          <w:rFonts w:eastAsia="Times New Roman"/>
          <w:bCs/>
          <w:lang w:eastAsia="ru-RU"/>
        </w:rPr>
        <w:t>. Настоящее решение вступает в силу после его официального</w:t>
      </w:r>
      <w:r w:rsidR="00E90C4C" w:rsidRPr="00E90C4C">
        <w:rPr>
          <w:bCs/>
        </w:rPr>
        <w:t xml:space="preserve"> опубликования (обнародования). </w:t>
      </w:r>
    </w:p>
    <w:p w:rsidR="00E90C4C" w:rsidRPr="00E90C4C" w:rsidRDefault="00591C04" w:rsidP="00E90C4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E90C4C" w:rsidRPr="00E90C4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E90C4C" w:rsidRPr="00E90C4C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E90C4C" w:rsidRPr="00E90C4C">
        <w:rPr>
          <w:rFonts w:ascii="Times New Roman" w:hAnsi="Times New Roman"/>
          <w:bCs/>
          <w:sz w:val="28"/>
          <w:szCs w:val="28"/>
        </w:rPr>
        <w:t xml:space="preserve"> выполнением решения оставляю за собой.</w:t>
      </w:r>
    </w:p>
    <w:p w:rsidR="00F70999" w:rsidRDefault="00F70999" w:rsidP="00E90C4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2DD" w:rsidRDefault="008102DD" w:rsidP="00E90C4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2DD" w:rsidRDefault="008102DD" w:rsidP="00E90C4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741" w:rsidRDefault="00352121" w:rsidP="00FF66A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2121">
        <w:rPr>
          <w:rFonts w:ascii="Times New Roman" w:hAnsi="Times New Roman"/>
          <w:sz w:val="28"/>
          <w:szCs w:val="28"/>
        </w:rPr>
        <w:t xml:space="preserve">Глава сельского поселения Шапша                                       </w:t>
      </w:r>
      <w:proofErr w:type="spellStart"/>
      <w:r w:rsidRPr="00352121">
        <w:rPr>
          <w:rFonts w:ascii="Times New Roman" w:hAnsi="Times New Roman"/>
          <w:sz w:val="28"/>
          <w:szCs w:val="28"/>
        </w:rPr>
        <w:t>Л.А.Овчерюкова</w:t>
      </w:r>
      <w:proofErr w:type="spellEnd"/>
    </w:p>
    <w:p w:rsidR="00CF4F80" w:rsidRDefault="00CF4F80" w:rsidP="00FF66A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F4F80" w:rsidRDefault="00CF4F80" w:rsidP="00FF66A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F4F80" w:rsidRDefault="00CF4F80" w:rsidP="00FF66A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F4F80" w:rsidRPr="00CF4F80" w:rsidRDefault="00CF4F80" w:rsidP="00CF4F8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F4F8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F4F80" w:rsidRPr="00CF4F80" w:rsidRDefault="00CF4F80" w:rsidP="00CF4F8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F4F8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F4F80" w:rsidRPr="00CF4F80" w:rsidRDefault="00CF4F80" w:rsidP="00CF4F8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F4F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214F">
        <w:rPr>
          <w:rFonts w:ascii="Times New Roman" w:hAnsi="Times New Roman" w:cs="Times New Roman"/>
          <w:sz w:val="28"/>
          <w:szCs w:val="28"/>
        </w:rPr>
        <w:t>Шапша</w:t>
      </w:r>
    </w:p>
    <w:p w:rsidR="00CF4F80" w:rsidRPr="00CF4F80" w:rsidRDefault="00CF4F80" w:rsidP="00CF4F8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F4F80">
        <w:rPr>
          <w:rFonts w:ascii="Times New Roman" w:hAnsi="Times New Roman" w:cs="Times New Roman"/>
          <w:sz w:val="28"/>
          <w:szCs w:val="28"/>
        </w:rPr>
        <w:t xml:space="preserve">от </w:t>
      </w:r>
      <w:r w:rsidR="00421349">
        <w:rPr>
          <w:rFonts w:ascii="Times New Roman" w:hAnsi="Times New Roman" w:cs="Times New Roman"/>
          <w:sz w:val="28"/>
          <w:szCs w:val="28"/>
        </w:rPr>
        <w:t>30</w:t>
      </w:r>
      <w:r w:rsidRPr="00CF4F80">
        <w:rPr>
          <w:rFonts w:ascii="Times New Roman" w:hAnsi="Times New Roman" w:cs="Times New Roman"/>
          <w:sz w:val="28"/>
          <w:szCs w:val="28"/>
        </w:rPr>
        <w:t>.</w:t>
      </w:r>
      <w:r w:rsidR="00421349">
        <w:rPr>
          <w:rFonts w:ascii="Times New Roman" w:hAnsi="Times New Roman" w:cs="Times New Roman"/>
          <w:sz w:val="28"/>
          <w:szCs w:val="28"/>
        </w:rPr>
        <w:t>1</w:t>
      </w:r>
      <w:r w:rsidR="0065214F">
        <w:rPr>
          <w:rFonts w:ascii="Times New Roman" w:hAnsi="Times New Roman" w:cs="Times New Roman"/>
          <w:sz w:val="28"/>
          <w:szCs w:val="28"/>
        </w:rPr>
        <w:t>0.</w:t>
      </w:r>
      <w:r w:rsidR="00421349">
        <w:rPr>
          <w:rFonts w:ascii="Times New Roman" w:hAnsi="Times New Roman" w:cs="Times New Roman"/>
          <w:sz w:val="28"/>
          <w:szCs w:val="28"/>
        </w:rPr>
        <w:t>2020</w:t>
      </w:r>
      <w:r w:rsidRPr="00CF4F80">
        <w:rPr>
          <w:rFonts w:ascii="Times New Roman" w:hAnsi="Times New Roman" w:cs="Times New Roman"/>
          <w:sz w:val="28"/>
          <w:szCs w:val="28"/>
        </w:rPr>
        <w:t xml:space="preserve"> </w:t>
      </w:r>
      <w:r w:rsidR="0065214F">
        <w:rPr>
          <w:rFonts w:ascii="Times New Roman" w:hAnsi="Times New Roman" w:cs="Times New Roman"/>
          <w:sz w:val="28"/>
          <w:szCs w:val="28"/>
        </w:rPr>
        <w:t>№</w:t>
      </w:r>
      <w:r w:rsidR="00591C04">
        <w:rPr>
          <w:rFonts w:ascii="Times New Roman" w:hAnsi="Times New Roman" w:cs="Times New Roman"/>
          <w:sz w:val="28"/>
          <w:szCs w:val="28"/>
        </w:rPr>
        <w:t xml:space="preserve"> </w:t>
      </w:r>
      <w:r w:rsidR="00421349">
        <w:rPr>
          <w:rFonts w:ascii="Times New Roman" w:hAnsi="Times New Roman" w:cs="Times New Roman"/>
          <w:sz w:val="28"/>
          <w:szCs w:val="28"/>
        </w:rPr>
        <w:t>128</w:t>
      </w:r>
      <w:r w:rsidR="0065214F">
        <w:rPr>
          <w:rFonts w:ascii="Times New Roman" w:hAnsi="Times New Roman" w:cs="Times New Roman"/>
          <w:sz w:val="28"/>
          <w:szCs w:val="28"/>
        </w:rPr>
        <w:t xml:space="preserve"> </w:t>
      </w:r>
      <w:r w:rsidRPr="00CF4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14F" w:rsidRDefault="0065214F" w:rsidP="00CF4F80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1C04" w:rsidRDefault="00CF4F80" w:rsidP="00591C0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91C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Положение </w:t>
      </w:r>
    </w:p>
    <w:p w:rsidR="00591C04" w:rsidRDefault="00CF4F80" w:rsidP="00591C0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91C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порядке проведения внешней проверки годового отчета </w:t>
      </w:r>
    </w:p>
    <w:p w:rsidR="00CF4F80" w:rsidRPr="00591C04" w:rsidRDefault="00CF4F80" w:rsidP="00591C0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91C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 исполнении бюджета сельского поселения </w:t>
      </w:r>
      <w:r w:rsidR="0065214F" w:rsidRPr="00591C04">
        <w:rPr>
          <w:rFonts w:ascii="Times New Roman" w:hAnsi="Times New Roman" w:cs="Times New Roman"/>
          <w:bCs/>
          <w:color w:val="auto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CF4F80" w:rsidRPr="00591C04" w:rsidRDefault="00CF4F80" w:rsidP="00591C0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F4F80" w:rsidRPr="00BB7445" w:rsidRDefault="00CF4F80" w:rsidP="00591C0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B744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1. Общие положения </w:t>
      </w:r>
    </w:p>
    <w:p w:rsidR="00591C04" w:rsidRPr="00591C04" w:rsidRDefault="00591C04" w:rsidP="00591C0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</w:t>
      </w:r>
      <w:proofErr w:type="gramStart"/>
      <w:r w:rsidRPr="00591C0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91C04">
        <w:rPr>
          <w:rFonts w:ascii="Times New Roman" w:hAnsi="Times New Roman" w:cs="Times New Roman"/>
          <w:sz w:val="28"/>
          <w:szCs w:val="28"/>
        </w:rPr>
        <w:t xml:space="preserve"> </w:t>
      </w:r>
      <w:r w:rsidRPr="00591C04">
        <w:rPr>
          <w:rFonts w:ascii="Times New Roman" w:hAnsi="Times New Roman" w:cs="Times New Roman"/>
          <w:sz w:val="28"/>
          <w:szCs w:val="28"/>
        </w:rPr>
        <w:fldChar w:fldCharType="begin"/>
      </w:r>
      <w:r w:rsidRPr="00591C04">
        <w:rPr>
          <w:rFonts w:ascii="Times New Roman" w:hAnsi="Times New Roman" w:cs="Times New Roman"/>
          <w:sz w:val="28"/>
          <w:szCs w:val="28"/>
        </w:rPr>
        <w:instrText xml:space="preserve"> HYPERLINK "kodeks://link/d?nd=901714433&amp;point=mark=00000000000000000000000000000000000000000000000000A900NE"\o"’’Бюджетный кодекс Российской Федерации (с изменениями на 15 октября 2020 года)’’</w:instrTex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15.10.2020)"</w:instrText>
      </w:r>
      <w:r w:rsidRPr="00591C04">
        <w:rPr>
          <w:rFonts w:ascii="Times New Roman" w:hAnsi="Times New Roman" w:cs="Times New Roman"/>
          <w:sz w:val="28"/>
          <w:szCs w:val="28"/>
        </w:rPr>
        <w:fldChar w:fldCharType="separate"/>
      </w:r>
      <w:r w:rsidRPr="00591C04">
        <w:rPr>
          <w:rFonts w:ascii="Times New Roman" w:hAnsi="Times New Roman" w:cs="Times New Roman"/>
          <w:sz w:val="28"/>
          <w:szCs w:val="28"/>
        </w:rPr>
        <w:t>статьей 264.4 Бюджетного кодекса Российской Федерации</w:t>
      </w:r>
      <w:r w:rsidRPr="00591C04">
        <w:rPr>
          <w:rFonts w:ascii="Times New Roman" w:hAnsi="Times New Roman" w:cs="Times New Roman"/>
          <w:sz w:val="28"/>
          <w:szCs w:val="28"/>
        </w:rPr>
        <w:fldChar w:fldCharType="end"/>
      </w:r>
      <w:r w:rsidRPr="00591C04">
        <w:rPr>
          <w:rFonts w:ascii="Times New Roman" w:hAnsi="Times New Roman" w:cs="Times New Roman"/>
          <w:sz w:val="28"/>
          <w:szCs w:val="28"/>
        </w:rPr>
        <w:t xml:space="preserve">, Положением о бюджетном процессе в сельском поселении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</w:t>
      </w:r>
      <w:r w:rsidR="00591C04">
        <w:rPr>
          <w:rFonts w:ascii="Times New Roman" w:hAnsi="Times New Roman" w:cs="Times New Roman"/>
          <w:sz w:val="28"/>
          <w:szCs w:val="28"/>
        </w:rPr>
        <w:t xml:space="preserve">от </w:t>
      </w:r>
      <w:r w:rsidR="00591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19.06.2015 № 128, </w:t>
      </w:r>
      <w:r w:rsidRPr="00591C04">
        <w:rPr>
          <w:rFonts w:ascii="Times New Roman" w:hAnsi="Times New Roman" w:cs="Times New Roman"/>
          <w:sz w:val="28"/>
          <w:szCs w:val="28"/>
        </w:rPr>
        <w:t xml:space="preserve">в целях применения при организации и проведении внешней проверки годового отчета об исполнении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>.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1.2. Внешняя проверка включает в себя: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- внешнюю проверку бюджетной отчетности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- главных администраторов бюджетных средств);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- подготовку заключения на годовой отчет об исполнении местного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>.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1.3. Внешняя проверка годового отчета об исполнении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проводится Контрольно-ревизионной комиссией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, а при наличии соглашения о передаче указанных полномочий (далее - Соглашение) контрольно-счетной палате </w:t>
      </w:r>
      <w:r w:rsidR="00BB7445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591C04">
        <w:rPr>
          <w:rFonts w:ascii="Times New Roman" w:hAnsi="Times New Roman" w:cs="Times New Roman"/>
          <w:sz w:val="28"/>
          <w:szCs w:val="28"/>
        </w:rPr>
        <w:t xml:space="preserve"> района, в </w:t>
      </w:r>
      <w:proofErr w:type="gramStart"/>
      <w:r w:rsidRPr="00591C04">
        <w:rPr>
          <w:rFonts w:ascii="Times New Roman" w:hAnsi="Times New Roman" w:cs="Times New Roman"/>
          <w:sz w:val="28"/>
          <w:szCs w:val="28"/>
        </w:rPr>
        <w:t xml:space="preserve">порядке, установленном Соглашением проверка годового отчета об исполнении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проводится</w:t>
      </w:r>
      <w:proofErr w:type="gramEnd"/>
      <w:r w:rsidRPr="00591C04">
        <w:rPr>
          <w:rFonts w:ascii="Times New Roman" w:hAnsi="Times New Roman" w:cs="Times New Roman"/>
          <w:sz w:val="28"/>
          <w:szCs w:val="28"/>
        </w:rPr>
        <w:t xml:space="preserve"> контрольно-счетной палатой </w:t>
      </w:r>
      <w:r w:rsidR="00BB7445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591C0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F4F80" w:rsidRPr="00591C04" w:rsidRDefault="00CF4F80" w:rsidP="00591C04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F4F80" w:rsidRPr="00BB7445" w:rsidRDefault="00CF4F80" w:rsidP="00591C0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B744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 Понятие, цель и предмет внешней проверки годового отчета об исполнении бюджета </w:t>
      </w:r>
    </w:p>
    <w:p w:rsidR="00591C04" w:rsidRPr="00591C04" w:rsidRDefault="00591C04" w:rsidP="00591C04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2.1</w:t>
      </w:r>
      <w:r w:rsidR="007B2266">
        <w:rPr>
          <w:rFonts w:ascii="Times New Roman" w:hAnsi="Times New Roman" w:cs="Times New Roman"/>
          <w:sz w:val="28"/>
          <w:szCs w:val="28"/>
        </w:rPr>
        <w:t>.</w:t>
      </w:r>
      <w:r w:rsidRPr="00591C04">
        <w:rPr>
          <w:rFonts w:ascii="Times New Roman" w:hAnsi="Times New Roman" w:cs="Times New Roman"/>
          <w:sz w:val="28"/>
          <w:szCs w:val="28"/>
        </w:rPr>
        <w:t xml:space="preserve"> Внешняя проверка годового отчета об исполнении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представляет собой систему обязательных контрольных действий по проверке годовой бюджетной отчетности главных администраторов бюджетных средств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по составу, соответствию установленным формам, достоверности отражения показателей бюджетной отчетности и их соответствие бюджетному учету.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2.2</w:t>
      </w:r>
      <w:r w:rsidR="007B2266">
        <w:rPr>
          <w:rFonts w:ascii="Times New Roman" w:hAnsi="Times New Roman" w:cs="Times New Roman"/>
          <w:sz w:val="28"/>
          <w:szCs w:val="28"/>
        </w:rPr>
        <w:t>.</w:t>
      </w:r>
      <w:r w:rsidRPr="00591C04">
        <w:rPr>
          <w:rFonts w:ascii="Times New Roman" w:hAnsi="Times New Roman" w:cs="Times New Roman"/>
          <w:sz w:val="28"/>
          <w:szCs w:val="28"/>
        </w:rPr>
        <w:t xml:space="preserve"> Целью внешней проверки годового отчета об исполнении </w:t>
      </w:r>
      <w:r w:rsidRPr="00591C04">
        <w:rPr>
          <w:rFonts w:ascii="Times New Roman" w:hAnsi="Times New Roman" w:cs="Times New Roman"/>
          <w:sz w:val="28"/>
          <w:szCs w:val="28"/>
        </w:rPr>
        <w:lastRenderedPageBreak/>
        <w:t xml:space="preserve">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является определение достоверности показателей годовой бюджетной отчетности главных администраторов бюджетных средств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и соответствия порядку ведения бюджетного учета законодательству Российской Федерации.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2.3</w:t>
      </w:r>
      <w:r w:rsidR="007B2266">
        <w:rPr>
          <w:rFonts w:ascii="Times New Roman" w:hAnsi="Times New Roman" w:cs="Times New Roman"/>
          <w:sz w:val="28"/>
          <w:szCs w:val="28"/>
        </w:rPr>
        <w:t>.</w:t>
      </w:r>
      <w:r w:rsidRPr="00591C04">
        <w:rPr>
          <w:rFonts w:ascii="Times New Roman" w:hAnsi="Times New Roman" w:cs="Times New Roman"/>
          <w:sz w:val="28"/>
          <w:szCs w:val="28"/>
        </w:rPr>
        <w:t xml:space="preserve"> Предметом внешней проверки годового отчета об исполнении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является годовая бюджетная отчетность, включающая: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2.3.1. отчет об исполнении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>;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2.3.2. баланс исполнения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>;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2.3.3. отчет о финансовых результатах деятельности;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2.3.4. отчет о движении денежных средств;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2.3.5. пояснительную записку.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2.4. Отчет об исполнении бюджета должен содержать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Баланс исполнения бюджета должен содержать данные о нефинансовых и финансовых активах, обязательствах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на первый и последний день отчетного периода по счетам плана счетов бюджетного учета.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 должен содержать данные о финансовом результате деятельности в отчетном периоде и быть составлен по кодам классификации операций сектора государственного управления.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Отчет о движении денежных средств должен отражать операции по счетам бюджетов по кодам классификации операций сектора государственного управления.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Пояснительная записка должна содержать анализ исполнения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и бюджетной отчетности, а также сведения о выполнении муниципального задания и (или) иных результатах использования бюджетных ассигнований главными распорядителями (распорядителями, получателями) бюджетных средств в отчетном финансовом году.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2.5. Задачами проведения внешней проверки являются: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- определение соблюдения единого порядка составления и представления бюджетной отчетности;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- установление правильности и достоверности бюджетного учета и отчетности по исполнению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>;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- сопоставления отчетных данных по исполнению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с показателями, утвержденными решением Советом депутатов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>;</w:t>
      </w:r>
    </w:p>
    <w:p w:rsidR="00CF4F80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- оценка отчетных показателей по исполнению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на предмет </w:t>
      </w:r>
      <w:proofErr w:type="gramStart"/>
      <w:r w:rsidRPr="00591C04">
        <w:rPr>
          <w:rFonts w:ascii="Times New Roman" w:hAnsi="Times New Roman" w:cs="Times New Roman"/>
          <w:sz w:val="28"/>
          <w:szCs w:val="28"/>
        </w:rPr>
        <w:t>определения соответствия исполненных показателей бюджета сельского поселения</w:t>
      </w:r>
      <w:proofErr w:type="gramEnd"/>
      <w:r w:rsidRPr="00591C04">
        <w:rPr>
          <w:rFonts w:ascii="Times New Roman" w:hAnsi="Times New Roman" w:cs="Times New Roman"/>
          <w:sz w:val="28"/>
          <w:szCs w:val="28"/>
        </w:rPr>
        <w:t xml:space="preserve">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, показателям, принятым </w:t>
      </w:r>
      <w:r w:rsidRPr="00591C04">
        <w:rPr>
          <w:rFonts w:ascii="Times New Roman" w:hAnsi="Times New Roman" w:cs="Times New Roman"/>
          <w:sz w:val="28"/>
          <w:szCs w:val="28"/>
        </w:rPr>
        <w:lastRenderedPageBreak/>
        <w:t xml:space="preserve">решением Совета депутатов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>, на отчетный финансовый год.</w:t>
      </w:r>
    </w:p>
    <w:p w:rsidR="007B2266" w:rsidRPr="00591C04" w:rsidRDefault="007B2266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F80" w:rsidRPr="00BB7445" w:rsidRDefault="00CF4F80" w:rsidP="00591C0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B744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Подготовка к проведению внешней проверки бюджетной отчетности </w:t>
      </w:r>
    </w:p>
    <w:p w:rsidR="00BB7445" w:rsidRPr="00591C04" w:rsidRDefault="00BB7445" w:rsidP="00591C04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F80" w:rsidRPr="00591C04" w:rsidRDefault="00CF4F80" w:rsidP="003038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3.1. Годовой отчет об исполнении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до его рассмотрения Советом депутатов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подлежит обязательной внешней проверке.</w:t>
      </w:r>
    </w:p>
    <w:p w:rsidR="00CF4F80" w:rsidRPr="00591C04" w:rsidRDefault="00CF4F80" w:rsidP="003038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3.2. Внешняя проверка годового отчета об исполнении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в порядке, установленном Соглашением</w:t>
      </w:r>
      <w:r w:rsidR="00BB7445">
        <w:rPr>
          <w:rFonts w:ascii="Times New Roman" w:hAnsi="Times New Roman" w:cs="Times New Roman"/>
          <w:sz w:val="28"/>
          <w:szCs w:val="28"/>
        </w:rPr>
        <w:t>,</w:t>
      </w:r>
      <w:r w:rsidRPr="00591C04">
        <w:rPr>
          <w:rFonts w:ascii="Times New Roman" w:hAnsi="Times New Roman" w:cs="Times New Roman"/>
          <w:sz w:val="28"/>
          <w:szCs w:val="28"/>
        </w:rPr>
        <w:t xml:space="preserve"> осуществляется Контрольно-ревизионной комиссией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, а при наличии Соглашения, контрольно-счетной палатой </w:t>
      </w:r>
      <w:r w:rsidR="00BB7445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591C04">
        <w:rPr>
          <w:rFonts w:ascii="Times New Roman" w:hAnsi="Times New Roman" w:cs="Times New Roman"/>
          <w:sz w:val="28"/>
          <w:szCs w:val="28"/>
        </w:rPr>
        <w:t xml:space="preserve"> района в соответствии с настоящим положением.</w:t>
      </w:r>
    </w:p>
    <w:p w:rsidR="00CF4F80" w:rsidRPr="00591C04" w:rsidRDefault="00CF4F80" w:rsidP="003038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3.3. Администрация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представляет годовой отчет об исполнении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для подготовки заключения на него не позднее 1 апреля текущего года.</w:t>
      </w:r>
    </w:p>
    <w:p w:rsidR="00CF4F80" w:rsidRPr="0030388E" w:rsidRDefault="00CF4F80" w:rsidP="003038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3.4. Одновременно с годовым отчетом об исполнении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в Контрольно-ревизионную комиссию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направляются дополнительные материалы, необходимые для проведения внешней проверки годового отчета об исполнении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30388E">
        <w:rPr>
          <w:rFonts w:ascii="Times New Roman" w:hAnsi="Times New Roman" w:cs="Times New Roman"/>
          <w:sz w:val="28"/>
          <w:szCs w:val="28"/>
        </w:rPr>
        <w:fldChar w:fldCharType="begin"/>
      </w:r>
      <w:r w:rsidRPr="0030388E">
        <w:rPr>
          <w:rFonts w:ascii="Times New Roman" w:hAnsi="Times New Roman" w:cs="Times New Roman"/>
          <w:sz w:val="28"/>
          <w:szCs w:val="28"/>
        </w:rPr>
        <w:instrText xml:space="preserve"> HYPERLINK "kodeks://link/d?nd=412975305&amp;point=mark=00000000000000000000000000000000000000000000000002P2UQJN"\o"’’Об утверждении Положения о порядке проведения внешней проверки годового отчета об исполнении бюджета ...’’</w:instrText>
      </w:r>
    </w:p>
    <w:p w:rsidR="00CF4F80" w:rsidRPr="0030388E" w:rsidRDefault="00CF4F80" w:rsidP="003038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88E">
        <w:rPr>
          <w:rFonts w:ascii="Times New Roman" w:hAnsi="Times New Roman" w:cs="Times New Roman"/>
          <w:sz w:val="28"/>
          <w:szCs w:val="28"/>
        </w:rPr>
        <w:instrText>Решение Совета депутатов сельского поселения Приполярный Березовского района Ханты-Мансийского автономного округа ...</w:instrText>
      </w:r>
    </w:p>
    <w:p w:rsidR="0030388E" w:rsidRDefault="00CF4F80" w:rsidP="003038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88E">
        <w:rPr>
          <w:rFonts w:ascii="Times New Roman" w:hAnsi="Times New Roman" w:cs="Times New Roman"/>
          <w:sz w:val="28"/>
          <w:szCs w:val="28"/>
        </w:rPr>
        <w:instrText>Статус: действующая реда"</w:instrText>
      </w:r>
      <w:r w:rsidRPr="0030388E">
        <w:rPr>
          <w:rFonts w:ascii="Times New Roman" w:hAnsi="Times New Roman" w:cs="Times New Roman"/>
          <w:sz w:val="28"/>
          <w:szCs w:val="28"/>
        </w:rPr>
        <w:fldChar w:fldCharType="separate"/>
      </w:r>
      <w:r w:rsidRPr="0030388E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30388E">
        <w:rPr>
          <w:rFonts w:ascii="Times New Roman" w:hAnsi="Times New Roman" w:cs="Times New Roman"/>
          <w:sz w:val="28"/>
          <w:szCs w:val="28"/>
        </w:rPr>
        <w:fldChar w:fldCharType="end"/>
      </w:r>
      <w:r w:rsidRPr="0030388E">
        <w:rPr>
          <w:rFonts w:ascii="Times New Roman" w:hAnsi="Times New Roman" w:cs="Times New Roman"/>
          <w:sz w:val="28"/>
          <w:szCs w:val="28"/>
        </w:rPr>
        <w:t xml:space="preserve"> </w:t>
      </w:r>
      <w:r w:rsidRPr="00591C04">
        <w:rPr>
          <w:rFonts w:ascii="Times New Roman" w:hAnsi="Times New Roman" w:cs="Times New Roman"/>
          <w:sz w:val="28"/>
          <w:szCs w:val="28"/>
        </w:rPr>
        <w:t xml:space="preserve">к настоящему Положению, а при наличии Соглашения, в контрольно-счетную палату </w:t>
      </w:r>
      <w:r w:rsidR="00BB7445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591C04">
        <w:rPr>
          <w:rFonts w:ascii="Times New Roman" w:hAnsi="Times New Roman" w:cs="Times New Roman"/>
          <w:sz w:val="28"/>
          <w:szCs w:val="28"/>
        </w:rPr>
        <w:t xml:space="preserve"> района в поря</w:t>
      </w:r>
      <w:r w:rsidR="0030388E">
        <w:rPr>
          <w:rFonts w:ascii="Times New Roman" w:hAnsi="Times New Roman" w:cs="Times New Roman"/>
          <w:sz w:val="28"/>
          <w:szCs w:val="28"/>
        </w:rPr>
        <w:t>дке, установленном Соглашением.</w:t>
      </w:r>
    </w:p>
    <w:p w:rsidR="00CF4F80" w:rsidRPr="00591C04" w:rsidRDefault="00CF4F80" w:rsidP="003038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3.5. Перечни вопросов, подлежащих проверке, определяются на основе полученной информации и материалов. Затем разрабатывается программа проверки, где отражаются сроки исполнения.</w:t>
      </w:r>
    </w:p>
    <w:p w:rsidR="00CF4F80" w:rsidRPr="00591C04" w:rsidRDefault="00CF4F80" w:rsidP="00591C04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F4F80" w:rsidRPr="0030388E" w:rsidRDefault="00CF4F80" w:rsidP="00591C0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0388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4. Проведение внешней проверки бюджетной отчетности </w:t>
      </w:r>
    </w:p>
    <w:p w:rsidR="0030388E" w:rsidRPr="00591C04" w:rsidRDefault="0030388E" w:rsidP="00591C04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4.1. В ходе внешней проверки годового отчета об исполнении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>: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4.1.1. Рассматривается годовая бюджетная отчетность главных администраторов бюджетных средств: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- проверяется состав и содержание форм отчетности на предмет их соответствия требованиям </w:t>
      </w:r>
      <w:r w:rsidRPr="00591C04">
        <w:rPr>
          <w:rFonts w:ascii="Times New Roman" w:hAnsi="Times New Roman" w:cs="Times New Roman"/>
          <w:sz w:val="28"/>
          <w:szCs w:val="28"/>
        </w:rPr>
        <w:fldChar w:fldCharType="begin"/>
      </w:r>
      <w:r w:rsidRPr="00591C04">
        <w:rPr>
          <w:rFonts w:ascii="Times New Roman" w:hAnsi="Times New Roman" w:cs="Times New Roman"/>
          <w:sz w:val="28"/>
          <w:szCs w:val="28"/>
        </w:rPr>
        <w:instrText xml:space="preserve"> HYPERLINK "kodeks://link/d?nd=902127842"\o"’’Об утверждении Инструкции о порядке составления и представления годовой, квартальной и ...’’</w:instrTex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instrText>Приказ Минфина России от 13.11.2008 N 128н</w:instrText>
      </w:r>
    </w:p>
    <w:p w:rsidR="007B2266" w:rsidRDefault="00CF4F80" w:rsidP="007B2266">
      <w:pPr>
        <w:pStyle w:val="header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C04">
        <w:rPr>
          <w:sz w:val="28"/>
          <w:szCs w:val="28"/>
        </w:rPr>
        <w:instrText>Статус: недействующий  (действ. с 01.01.2009 по 15.03.2011)"</w:instrText>
      </w:r>
      <w:r w:rsidRPr="00591C04">
        <w:rPr>
          <w:sz w:val="28"/>
          <w:szCs w:val="28"/>
        </w:rPr>
        <w:fldChar w:fldCharType="separate"/>
      </w:r>
      <w:r w:rsidRPr="007B2266">
        <w:rPr>
          <w:sz w:val="28"/>
          <w:szCs w:val="28"/>
        </w:rPr>
        <w:t xml:space="preserve">приказа Министерства финансов Российской Федерации от </w:t>
      </w:r>
      <w:r w:rsidR="007B2266" w:rsidRPr="007B2266">
        <w:rPr>
          <w:sz w:val="28"/>
          <w:szCs w:val="28"/>
        </w:rPr>
        <w:t>28</w:t>
      </w:r>
      <w:r w:rsidRPr="007B2266">
        <w:rPr>
          <w:sz w:val="28"/>
          <w:szCs w:val="28"/>
        </w:rPr>
        <w:t>.1</w:t>
      </w:r>
      <w:r w:rsidR="007B2266" w:rsidRPr="007B2266">
        <w:rPr>
          <w:sz w:val="28"/>
          <w:szCs w:val="28"/>
        </w:rPr>
        <w:t>2.2010</w:t>
      </w:r>
      <w:r w:rsidRPr="007B2266">
        <w:rPr>
          <w:sz w:val="28"/>
          <w:szCs w:val="28"/>
        </w:rPr>
        <w:t xml:space="preserve"> N 1</w:t>
      </w:r>
      <w:r w:rsidR="007B2266" w:rsidRPr="007B2266">
        <w:rPr>
          <w:sz w:val="28"/>
          <w:szCs w:val="28"/>
        </w:rPr>
        <w:t>91</w:t>
      </w:r>
      <w:r w:rsidRPr="007B2266">
        <w:rPr>
          <w:sz w:val="28"/>
          <w:szCs w:val="28"/>
        </w:rPr>
        <w:t xml:space="preserve">н </w:t>
      </w:r>
      <w:r w:rsidR="007B2266">
        <w:rPr>
          <w:sz w:val="28"/>
          <w:szCs w:val="28"/>
        </w:rPr>
        <w:t>«</w:t>
      </w:r>
      <w:r w:rsidR="0030388E" w:rsidRPr="007B2266">
        <w:rPr>
          <w:sz w:val="28"/>
          <w:szCs w:val="28"/>
        </w:rPr>
        <w:t xml:space="preserve">Об утверждении </w:t>
      </w:r>
      <w:hyperlink r:id="rId10" w:history="1">
        <w:r w:rsidR="0030388E" w:rsidRPr="007B2266">
          <w:rPr>
            <w:sz w:val="28"/>
            <w:szCs w:val="28"/>
          </w:rPr>
  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</w:r>
      </w:hyperlink>
      <w:r w:rsidRPr="00591C04">
        <w:rPr>
          <w:sz w:val="28"/>
          <w:szCs w:val="28"/>
        </w:rPr>
        <w:fldChar w:fldCharType="end"/>
      </w:r>
      <w:r w:rsidR="007B2266">
        <w:rPr>
          <w:sz w:val="28"/>
          <w:szCs w:val="28"/>
        </w:rPr>
        <w:t>»</w:t>
      </w:r>
      <w:r w:rsidRPr="00591C04">
        <w:rPr>
          <w:sz w:val="28"/>
          <w:szCs w:val="28"/>
        </w:rPr>
        <w:t>, включая:</w:t>
      </w:r>
    </w:p>
    <w:p w:rsidR="00CF4F80" w:rsidRPr="00591C04" w:rsidRDefault="00CF4F80" w:rsidP="007B2266">
      <w:pPr>
        <w:pStyle w:val="header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C04">
        <w:rPr>
          <w:sz w:val="28"/>
          <w:szCs w:val="28"/>
        </w:rPr>
        <w:t>- представление отчетности в полном объеме (наличие всех необходимых форм, включенных в состав годовой отчетности);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- полноту их заполнения;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- наличие и правильное заполнение необходимых реквизитов.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lastRenderedPageBreak/>
        <w:t xml:space="preserve">4.1.2. Проводятся анализ и сопоставление данных сводной бюджетной росписи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за отчетный финансовый год и решения о бюджете за отчетный финансовый год, устанавливается наличие отклонений сводной бюджетной росписи и решения о бюджете по разделам, подразделам функциональной классификации.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В случае выявления отклонений указываются причины их возникновения.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4.1.3. Проводится анализ исполнения доходной части бюджета по уточненному бюджету за год по основным источникам, в том числе по налоговым и неналоговым доходам бюджета.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В случае выявления отклонений указываются причины их возникновения.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4.1.4. Проводится анализ исполнения расходной части бюджета по разделам, подразделам расходов бюджета.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В случае выявления отклонений указываются причины их возникновения.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4.1.</w:t>
      </w:r>
      <w:r w:rsidR="00797039">
        <w:rPr>
          <w:rFonts w:ascii="Times New Roman" w:hAnsi="Times New Roman" w:cs="Times New Roman"/>
          <w:sz w:val="28"/>
          <w:szCs w:val="28"/>
        </w:rPr>
        <w:t>5</w:t>
      </w:r>
      <w:r w:rsidRPr="00591C04">
        <w:rPr>
          <w:rFonts w:ascii="Times New Roman" w:hAnsi="Times New Roman" w:cs="Times New Roman"/>
          <w:sz w:val="28"/>
          <w:szCs w:val="28"/>
        </w:rPr>
        <w:t>. Проводится анализ предоставления и погашения бюджетных кредитов, источников финансирования дефицита бюджета.</w:t>
      </w:r>
    </w:p>
    <w:p w:rsidR="00CF4F80" w:rsidRPr="00591C04" w:rsidRDefault="00797039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</w:t>
      </w:r>
      <w:r w:rsidR="00CF4F80" w:rsidRPr="00591C04">
        <w:rPr>
          <w:rFonts w:ascii="Times New Roman" w:hAnsi="Times New Roman" w:cs="Times New Roman"/>
          <w:sz w:val="28"/>
          <w:szCs w:val="28"/>
        </w:rPr>
        <w:t xml:space="preserve">. На основании показателей форм бюджетной отчетности главного администратора бюджетных средств, обобщенных путем суммирования одноименных показателей, сопоставляются показатели по позициям консолидируемых форм бюджетной отчетности. Проводится анализ и сопоставление отчета об исполнении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="00CF4F80" w:rsidRPr="00591C04">
        <w:rPr>
          <w:rFonts w:ascii="Times New Roman" w:hAnsi="Times New Roman" w:cs="Times New Roman"/>
          <w:sz w:val="28"/>
          <w:szCs w:val="28"/>
        </w:rPr>
        <w:t xml:space="preserve"> с данными отчета об исполнении бюджета главного распорядителя бюджетных средств, устанавливается наличие отклонений и причины их возникновения, оформляется итоговый документ по проведению внешней проверки бюджетной отчетности главного администратора бюджетных средств.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4.2. В ходе осуществления внешней проверки годового отчета Контрольно-ревизионная комиссия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, а при наличии Соглашения, контрольно-счетная палата </w:t>
      </w:r>
      <w:r w:rsidR="00BB7445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591C04">
        <w:rPr>
          <w:rFonts w:ascii="Times New Roman" w:hAnsi="Times New Roman" w:cs="Times New Roman"/>
          <w:sz w:val="28"/>
          <w:szCs w:val="28"/>
        </w:rPr>
        <w:t xml:space="preserve"> района в порядке, установленном Соглашением, вправе в пределах своих полномочий запрашивать дополнительную информацию и документы у главных распорядителей (распорядителей) бюджетных средств и главных администраторов (администраторов) доходов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>.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4.3. Главные распорядители (распорядители) бюджетных средств и главные администраторы (администраторы) доходов бюджета обязаны предоставлять Контрольно-ревизионной комиссии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, а при наличии Соглашения, контрольно-счетной палате </w:t>
      </w:r>
      <w:r w:rsidR="00BB7445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591C04">
        <w:rPr>
          <w:rFonts w:ascii="Times New Roman" w:hAnsi="Times New Roman" w:cs="Times New Roman"/>
          <w:sz w:val="28"/>
          <w:szCs w:val="28"/>
        </w:rPr>
        <w:t xml:space="preserve"> района в порядке, установленном Соглашением, необходимую информацию и документы в двухдневный срок с момента получения запроса.</w:t>
      </w:r>
    </w:p>
    <w:p w:rsidR="00CF4F80" w:rsidRDefault="00CF4F80" w:rsidP="00591C0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B2266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5. Оформление результатов проверки </w:t>
      </w:r>
    </w:p>
    <w:p w:rsidR="007B2266" w:rsidRPr="007B2266" w:rsidRDefault="007B2266" w:rsidP="00591C0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5.1. Контрольно-ревизионной комиссией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, а при наличии Соглашения, контрольно-счетной палатой </w:t>
      </w:r>
      <w:r w:rsidR="00BB7445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591C04">
        <w:rPr>
          <w:rFonts w:ascii="Times New Roman" w:hAnsi="Times New Roman" w:cs="Times New Roman"/>
          <w:sz w:val="28"/>
          <w:szCs w:val="28"/>
        </w:rPr>
        <w:t xml:space="preserve"> района в порядке, установленном Соглашением, проводится подготовка заключения на годовой отчет об исполнении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в срок, не превышающий один месяц.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5.2. Контрольно-ревизионная комиссия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, а при наличии Соглашения, контрольно-счетная палата </w:t>
      </w:r>
      <w:r w:rsidR="00BB7445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591C04">
        <w:rPr>
          <w:rFonts w:ascii="Times New Roman" w:hAnsi="Times New Roman" w:cs="Times New Roman"/>
          <w:sz w:val="28"/>
          <w:szCs w:val="28"/>
        </w:rPr>
        <w:t xml:space="preserve"> района в порядке, установленном Соглашением, готовит заключение на годовой отчет об исполнении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с учетом данных внешней проверки бюджетной отчетности главного администратора бюджетных средств.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5.3. Заключение на годовой отчет об исполнении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представляется Контрольно-ревизионной комиссией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, а при наличии Соглашения, контрольно-счетной палатой </w:t>
      </w:r>
      <w:r w:rsidR="00BB7445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591C04">
        <w:rPr>
          <w:rFonts w:ascii="Times New Roman" w:hAnsi="Times New Roman" w:cs="Times New Roman"/>
          <w:sz w:val="28"/>
          <w:szCs w:val="28"/>
        </w:rPr>
        <w:t xml:space="preserve"> района в порядке, установленном Соглашением, в Совет депутатов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и администрацию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>.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F80" w:rsidRPr="00591C04" w:rsidRDefault="00CF4F80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97039" w:rsidRDefault="00797039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97039" w:rsidRDefault="00797039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97039" w:rsidRDefault="00797039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97039" w:rsidRDefault="00797039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2266" w:rsidRDefault="00CF4F80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B2266">
        <w:rPr>
          <w:rFonts w:ascii="Times New Roman" w:hAnsi="Times New Roman" w:cs="Times New Roman"/>
          <w:sz w:val="28"/>
          <w:szCs w:val="28"/>
        </w:rPr>
        <w:t xml:space="preserve"> </w:t>
      </w:r>
      <w:r w:rsidRPr="00591C04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CF4F80" w:rsidRPr="00591C04" w:rsidRDefault="00CF4F80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о порядке проведения</w:t>
      </w:r>
    </w:p>
    <w:p w:rsidR="00CF4F80" w:rsidRPr="00591C04" w:rsidRDefault="00CF4F80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внешней проверки годового отчета</w:t>
      </w:r>
    </w:p>
    <w:p w:rsidR="00CF4F80" w:rsidRPr="00591C04" w:rsidRDefault="00CF4F80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CF4F80" w:rsidRPr="00591C04" w:rsidRDefault="00CF4F80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F80" w:rsidRPr="00591C04" w:rsidRDefault="00CF4F80" w:rsidP="00591C04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2266" w:rsidRPr="007B2266" w:rsidRDefault="00CF4F80" w:rsidP="00591C0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B226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Перечень материалов, необходимых для проведения внешней проверки годового отчета об исполнении бюджета сельского поселения </w:t>
      </w:r>
      <w:r w:rsidR="0065214F" w:rsidRPr="007B2266">
        <w:rPr>
          <w:rFonts w:ascii="Times New Roman" w:hAnsi="Times New Roman" w:cs="Times New Roman"/>
          <w:bCs/>
          <w:color w:val="auto"/>
          <w:sz w:val="28"/>
          <w:szCs w:val="28"/>
        </w:rPr>
        <w:t>Шапша</w:t>
      </w:r>
    </w:p>
    <w:p w:rsidR="00CF4F80" w:rsidRPr="00591C04" w:rsidRDefault="00CF4F80" w:rsidP="00591C04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Документы, предоставляемые для проведения внешней проверки годового отчета об исполнении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>: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- Устав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>;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- сведения о льготах, предоставленных по аренде земельных участков и имущества, с указанием постановлений (решений) о предоставлении льгот, получателей по принадлежности, а также выпадающих доходов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>;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- список имущества, переданного в безвозмездное пользование, с указанием основания его передачи, пользователей имущества и сумм выпадающих доходов бюджета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>;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- документы по организации и проведению торгов по продаже находящихся в муниципальной собственности земельных участков или права на заключение договоров аренды таких земельных участков (извещение о проведении торгов, опубликованное в средствах массовой информации, протокол о результатах торгов);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- сведения о наличии задолженности по арендной плате за земельные участки и имущество, с указанием суммы недоимки на начало и конец отчетного периода. Перечень основных должников;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- сведения о внесении в реестр муниципальной собственности объектов строительства, введенных в эксплуатацию за отчетный период.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- итоги социально-экономического развития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>;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- отчет о реализации на территории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федеральных, областных, муниципальных целевых программ, их финансирование (с указанием плановых и фактических объемов финансирования) в разрезе мероприятий и источников финансирования;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- положение о порядке формирования и реализации муниципальных целевых программ;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- информация о доле участия органов местного самоуправления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в созданных с участием органов местного самоуправления сельского поселения </w:t>
      </w:r>
      <w:r w:rsidR="0065214F" w:rsidRPr="00591C04">
        <w:rPr>
          <w:rFonts w:ascii="Times New Roman" w:hAnsi="Times New Roman" w:cs="Times New Roman"/>
          <w:sz w:val="28"/>
          <w:szCs w:val="28"/>
        </w:rPr>
        <w:t>Шапша</w:t>
      </w:r>
      <w:r w:rsidRPr="00591C04">
        <w:rPr>
          <w:rFonts w:ascii="Times New Roman" w:hAnsi="Times New Roman" w:cs="Times New Roman"/>
          <w:sz w:val="28"/>
          <w:szCs w:val="28"/>
        </w:rPr>
        <w:t xml:space="preserve"> предприятиях и организациях (при наличии);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- решение о порядке приватизации муниципального имущества;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- отчет об исполнении программы приватизации;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- порядок управления и распоряжения земельными участками;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lastRenderedPageBreak/>
        <w:t>- реестр договоров аренды объектов муниципальной собственности;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- порядок формирования, обеспечения размещения, исполнения и </w:t>
      </w:r>
      <w:proofErr w:type="gramStart"/>
      <w:r w:rsidRPr="00591C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91C04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заказа;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- реестр муниципальных контрактов.</w:t>
      </w:r>
    </w:p>
    <w:p w:rsidR="00CF4F80" w:rsidRPr="00CF4F80" w:rsidRDefault="00CF4F80" w:rsidP="007B22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F4F80" w:rsidRPr="00CF4F80" w:rsidSect="00421349">
      <w:headerReference w:type="default" r:id="rId11"/>
      <w:type w:val="continuous"/>
      <w:pgSz w:w="11907" w:h="16840" w:code="9"/>
      <w:pgMar w:top="1418" w:right="1276" w:bottom="1134" w:left="1559" w:header="278" w:footer="27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B01" w:rsidRDefault="008A2B01">
      <w:pPr>
        <w:spacing w:after="0" w:line="240" w:lineRule="auto"/>
      </w:pPr>
      <w:r>
        <w:separator/>
      </w:r>
    </w:p>
  </w:endnote>
  <w:endnote w:type="continuationSeparator" w:id="0">
    <w:p w:rsidR="008A2B01" w:rsidRDefault="008A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B01" w:rsidRDefault="008A2B01">
      <w:pPr>
        <w:spacing w:after="0" w:line="240" w:lineRule="auto"/>
      </w:pPr>
      <w:r>
        <w:separator/>
      </w:r>
    </w:p>
  </w:footnote>
  <w:footnote w:type="continuationSeparator" w:id="0">
    <w:p w:rsidR="008A2B01" w:rsidRDefault="008A2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577284"/>
      <w:docPartObj>
        <w:docPartGallery w:val="Page Numbers (Top of Page)"/>
        <w:docPartUnique/>
      </w:docPartObj>
    </w:sdtPr>
    <w:sdtEndPr/>
    <w:sdtContent>
      <w:p w:rsidR="00421349" w:rsidRDefault="00421349">
        <w:pPr>
          <w:pStyle w:val="a4"/>
          <w:jc w:val="center"/>
        </w:pPr>
      </w:p>
      <w:p w:rsidR="00421349" w:rsidRDefault="004213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039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E4254"/>
    <w:multiLevelType w:val="multilevel"/>
    <w:tmpl w:val="80A4A530"/>
    <w:lvl w:ilvl="0">
      <w:start w:val="1"/>
      <w:numFmt w:val="decimal"/>
      <w:lvlText w:val="%1."/>
      <w:lvlJc w:val="left"/>
      <w:pPr>
        <w:ind w:left="6408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2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5C"/>
    <w:rsid w:val="00006ED7"/>
    <w:rsid w:val="00143288"/>
    <w:rsid w:val="001D57CF"/>
    <w:rsid w:val="00206F75"/>
    <w:rsid w:val="00246772"/>
    <w:rsid w:val="00275838"/>
    <w:rsid w:val="00300686"/>
    <w:rsid w:val="0030388E"/>
    <w:rsid w:val="00311F14"/>
    <w:rsid w:val="00352121"/>
    <w:rsid w:val="003A3171"/>
    <w:rsid w:val="003B1482"/>
    <w:rsid w:val="003C4372"/>
    <w:rsid w:val="003F43A4"/>
    <w:rsid w:val="00421349"/>
    <w:rsid w:val="00453F11"/>
    <w:rsid w:val="00484935"/>
    <w:rsid w:val="00485741"/>
    <w:rsid w:val="004C12AA"/>
    <w:rsid w:val="004C796F"/>
    <w:rsid w:val="0051360E"/>
    <w:rsid w:val="00591C04"/>
    <w:rsid w:val="005E6CF6"/>
    <w:rsid w:val="00630DC9"/>
    <w:rsid w:val="0063716F"/>
    <w:rsid w:val="0065214F"/>
    <w:rsid w:val="00797039"/>
    <w:rsid w:val="007B2266"/>
    <w:rsid w:val="007F4988"/>
    <w:rsid w:val="008102DD"/>
    <w:rsid w:val="00815ACF"/>
    <w:rsid w:val="008743A4"/>
    <w:rsid w:val="008A2B01"/>
    <w:rsid w:val="008B3B07"/>
    <w:rsid w:val="00916FFE"/>
    <w:rsid w:val="0093541E"/>
    <w:rsid w:val="00961605"/>
    <w:rsid w:val="0097024B"/>
    <w:rsid w:val="009F3D0E"/>
    <w:rsid w:val="00A35E5F"/>
    <w:rsid w:val="00AC16F2"/>
    <w:rsid w:val="00B02D5A"/>
    <w:rsid w:val="00B0455C"/>
    <w:rsid w:val="00B90819"/>
    <w:rsid w:val="00BB7445"/>
    <w:rsid w:val="00C5018B"/>
    <w:rsid w:val="00C81439"/>
    <w:rsid w:val="00CC75CC"/>
    <w:rsid w:val="00CF4F80"/>
    <w:rsid w:val="00D46DC7"/>
    <w:rsid w:val="00E31D1E"/>
    <w:rsid w:val="00E90C4C"/>
    <w:rsid w:val="00EB2608"/>
    <w:rsid w:val="00ED7D8C"/>
    <w:rsid w:val="00F1695C"/>
    <w:rsid w:val="00F70999"/>
    <w:rsid w:val="00F92DB4"/>
    <w:rsid w:val="00F96410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customStyle="1" w:styleId="ConsPlusNormal">
    <w:name w:val="ConsPlusNormal"/>
    <w:rsid w:val="00E90C4C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fontstyle22">
    <w:name w:val="fontstyle22"/>
    <w:rsid w:val="00B02D5A"/>
  </w:style>
  <w:style w:type="paragraph" w:customStyle="1" w:styleId="headertext0">
    <w:name w:val="headertext"/>
    <w:basedOn w:val="a"/>
    <w:rsid w:val="00303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customStyle="1" w:styleId="ConsPlusNormal">
    <w:name w:val="ConsPlusNormal"/>
    <w:rsid w:val="00E90C4C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fontstyle22">
    <w:name w:val="fontstyle22"/>
    <w:rsid w:val="00B02D5A"/>
  </w:style>
  <w:style w:type="paragraph" w:customStyle="1" w:styleId="headertext0">
    <w:name w:val="headertext"/>
    <w:basedOn w:val="a"/>
    <w:rsid w:val="00303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kodeks://link/d?nd=902254657&amp;prevdoc=902254657&amp;point=mark=000000000000000000000000000000000000000000000000006580I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%20&#1091;&#1089;&#1090;&#1072;&#1085;&#1086;&#1074;&#1083;&#1077;&#1085;&#1080;&#1080;%20&#1079;&#1077;&#1084;&#1077;&#1083;&#1100;&#1085;&#1086;&#1075;&#1086;%20&#1085;&#1072;&#1083;&#1086;&#1075;&#1072;%20(&#1089;%20&#1080;&#1079;&#1084;&#1077;&#1085;&#1077;&#1085;&#1080;&#1103;&#1084;&#1080;%20&#1085;&#1072;%2019.03.2018)_&#1058;&#1077;&#1082;&#1089;&#1090;%20&#8212;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30BE9-7810-42F3-B897-DB6E14E6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установлении земельного налога (с изменениями на 19.03.2018)_Текст — копия</Template>
  <TotalTime>422</TotalTime>
  <Pages>8</Pages>
  <Words>1578</Words>
  <Characters>13760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земельного налога (с изменениями на: 19.03.2018)</vt:lpstr>
    </vt:vector>
  </TitlesOfParts>
  <Company>Hewlett-Packard Company</Company>
  <LinksUpToDate>false</LinksUpToDate>
  <CharactersWithSpaces>15308</CharactersWithSpaces>
  <SharedDoc>false</SharedDoc>
  <HLinks>
    <vt:vector size="90" baseType="variant">
      <vt:variant>
        <vt:i4>1572943</vt:i4>
      </vt:variant>
      <vt:variant>
        <vt:i4>42</vt:i4>
      </vt:variant>
      <vt:variant>
        <vt:i4>0</vt:i4>
      </vt:variant>
      <vt:variant>
        <vt:i4>5</vt:i4>
      </vt:variant>
      <vt:variant>
        <vt:lpwstr>kodeks://link/d?nd=412912619</vt:lpwstr>
      </vt:variant>
      <vt:variant>
        <vt:lpwstr/>
      </vt:variant>
      <vt:variant>
        <vt:i4>1310793</vt:i4>
      </vt:variant>
      <vt:variant>
        <vt:i4>39</vt:i4>
      </vt:variant>
      <vt:variant>
        <vt:i4>0</vt:i4>
      </vt:variant>
      <vt:variant>
        <vt:i4>5</vt:i4>
      </vt:variant>
      <vt:variant>
        <vt:lpwstr>kodeks://link/d?nd=412913063</vt:lpwstr>
      </vt:variant>
      <vt:variant>
        <vt:lpwstr/>
      </vt:variant>
      <vt:variant>
        <vt:i4>1572929</vt:i4>
      </vt:variant>
      <vt:variant>
        <vt:i4>36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33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  <vt:variant>
        <vt:i4>1376332</vt:i4>
      </vt:variant>
      <vt:variant>
        <vt:i4>30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27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92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kodeks://link/d?nd=901714421&amp;point=mark=00000000000000000000000000000000000000000000000000A860NK</vt:lpwstr>
      </vt:variant>
      <vt:variant>
        <vt:lpwstr/>
      </vt:variant>
      <vt:variant>
        <vt:i4>65541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kodeks://link/d?nd=901714421&amp;point=mark=00000000000000000000000000000000000000000000000000A7O0NE</vt:lpwstr>
      </vt:variant>
      <vt:variant>
        <vt:lpwstr/>
      </vt:variant>
      <vt:variant>
        <vt:i4>1179716</vt:i4>
      </vt:variant>
      <vt:variant>
        <vt:i4>18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1835084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kodeks://link/d?nd=901876063</vt:lpwstr>
      </vt:variant>
      <vt:variant>
        <vt:lpwstr/>
      </vt:variant>
      <vt:variant>
        <vt:i4>1376332</vt:i4>
      </vt:variant>
      <vt:variant>
        <vt:i4>12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9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1179716</vt:i4>
      </vt:variant>
      <vt:variant>
        <vt:i4>6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1572929</vt:i4>
      </vt:variant>
      <vt:variant>
        <vt:i4>3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земельного налога (с изменениями на: 19.03.2018)</dc:title>
  <dc:creator>Надежда</dc:creator>
  <cp:lastModifiedBy>Специалист-4</cp:lastModifiedBy>
  <cp:revision>20</cp:revision>
  <cp:lastPrinted>2020-10-30T06:32:00Z</cp:lastPrinted>
  <dcterms:created xsi:type="dcterms:W3CDTF">2018-09-02T12:15:00Z</dcterms:created>
  <dcterms:modified xsi:type="dcterms:W3CDTF">2020-10-30T06:32:00Z</dcterms:modified>
</cp:coreProperties>
</file>